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水电站运行规程与设备管理</w:t>
      </w:r>
    </w:p>
    <w:p>
      <w:r>
        <w:rPr>
          <w:rFonts w:ascii="宋体" w:hAnsi="宋体" w:eastAsia="宋体"/>
          <w:sz w:val="24"/>
        </w:rPr>
        <w:t>《最新统一编写小水电培训教材暨岗位必备指南》编写组编；刘洪林，肖海平主编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水电站运行规程与设备管理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《最新统一编写小水电培训教材暨岗位必备指南》编写组编；刘洪林，肖海平主编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本书出售、求购地址：https://www.jiaokey.com/book/detail/11727504.html</w:t>
      </w:r>
    </w:p>
    <w:p>
      <w:r>
        <w:t>更多相关图书推荐：https://www.jiaokey.com</w:t>
      </w:r>
    </w:p>
    <w:p>
      <w:r>
        <w:t>《最新统一编写小水电培训教材暨岗位必备指南》编写组编；刘洪林，肖海平主编 其他作品：https://www.jiaokey.com/tag/《最新统一编写小水电培训教材暨岗位必备指南》编写组编；刘洪林，肖海平主编.html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关键词搜索：https://www.jiaokey.com/tag/水电站运行规程与设备管理.html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