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防空指挥自动化信息处理</w:t>
      </w:r>
    </w:p>
    <w:p>
      <w:r>
        <w:rPr>
          <w:rFonts w:ascii="宋体" w:hAnsi="宋体" w:eastAsia="宋体"/>
          <w:sz w:val="24"/>
        </w:rPr>
        <w:t>贺正洪主编；吕辉，王睿编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防空指挥自动化信息处理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贺正洪主编；吕辉，王睿编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本书出售、求购地址：https://www.jiaokey.com/book/detail/11726187.html</w:t>
      </w:r>
    </w:p>
    <w:p>
      <w:r>
        <w:t>更多相关图书推荐：https://www.jiaokey.com</w:t>
      </w:r>
    </w:p>
    <w:p>
      <w:r>
        <w:t>贺正洪主编；吕辉，王睿编 其他作品：https://www.jiaokey.com/tag/贺正洪主编；吕辉，王睿编.html</w:t>
      </w:r>
    </w:p>
    <w:p>
      <w:r>
        <w:t>西安市：西北工业大学出版社 出版图书：https://www.jiaokey.com/tag/西安市：西北工业大学出版社.html</w:t>
      </w:r>
    </w:p>
    <w:p>
      <w:r>
        <w:t>关键词搜索：https://www.jiaokey.com/tag/防空指挥自动化信息处理.html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