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新西伯利亚制砖工厂的工作经验</w:t>
      </w:r>
    </w:p>
    <w:p>
      <w:r>
        <w:rPr>
          <w:rFonts w:ascii="宋体" w:hAnsi="宋体" w:eastAsia="宋体"/>
          <w:sz w:val="24"/>
        </w:rPr>
        <w:t>К.И.弗兰丘克，T.Л.契尔诺夫著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新西伯利亚制砖工厂的工作经验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К.И.弗兰丘克，T.Л.契尔诺夫著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建筑材料工业出版社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本书出售、求购地址：https://www.jiaokey.com/book/detail/11724592.html</w:t>
      </w:r>
    </w:p>
    <w:p>
      <w:r>
        <w:t>更多相关图书推荐：https://www.jiaokey.com</w:t>
      </w:r>
    </w:p>
    <w:p>
      <w:r>
        <w:t>К.И.弗兰丘克，T.Л.契尔诺夫著 其他作品：https://www.jiaokey.com/tag/К.И.弗兰丘克，T.Л.契尔诺夫著.html</w:t>
      </w:r>
    </w:p>
    <w:p>
      <w:r>
        <w:t>建筑材料工业出版社 出版图书：https://www.jiaokey.com/tag/建筑材料工业出版社.html</w:t>
      </w:r>
    </w:p>
    <w:p>
      <w:r>
        <w:t>关键词搜索：https://www.jiaokey.com/tag/新西伯利亚制砖工厂的工作经验.html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