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突发公共卫生事件的防护</w:t>
      </w:r>
    </w:p>
    <w:p>
      <w:r>
        <w:rPr>
          <w:rFonts w:ascii="宋体" w:hAnsi="宋体" w:eastAsia="宋体"/>
          <w:sz w:val="24"/>
        </w:rPr>
        <w:t>牛侨主编；王恒德，王桂琴，刘红丽，张缭云，赵龙凤，高增林，殷国荣，穆进军编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牛侨主编；王恒德，王桂琴，刘红丽，张缭云，赵龙凤，高增林，殷国荣，穆进军编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本书出售、求购地址：https://www.jiaokey.com/book/detail/11724031.html</w:t>
      </w:r>
    </w:p>
    <w:p>
      <w:r>
        <w:t>更多相关图书推荐：https://www.jiaokey.com</w:t>
      </w:r>
    </w:p>
    <w:p>
      <w:r>
        <w:t>牛侨主编；王恒德，王桂琴，刘红丽，张缭云，赵龙凤，高增林，殷国荣，穆进军编 其他作品：https://www.jiaokey.com/tag/牛侨主编；王恒德，王桂琴，刘红丽，张缭云，赵龙凤，高增林，殷国荣，穆进军编.html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关键词搜索：https://www.jiaokey.com/tag/突发公共卫生事件的防护.html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