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</w:t>
      </w:r>
    </w:p>
    <w:p>
      <w:r>
        <w:rPr>
          <w:rFonts w:ascii="宋体" w:hAnsi="宋体" w:eastAsia="宋体"/>
          <w:sz w:val="24"/>
        </w:rPr>
        <w:t>李峥主编；姜雁副主编；马丽，白玉萍，张澜，绳宇编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李峥主编；姜雁副主编；马丽，白玉萍，张澜，绳宇编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本书出售、求购地址：https://www.jiaokey.com/book/detail/11722796.html</w:t>
      </w:r>
    </w:p>
    <w:p>
      <w:r>
        <w:t>更多相关图书推荐：https://www.jiaokey.com</w:t>
      </w:r>
    </w:p>
    <w:p>
      <w:r>
        <w:t>李峥主编；姜雁副主编；马丽，白玉萍，张澜，绳宇编 其他作品：https://www.jiaokey.com/tag/李峥主编；姜雁副主编；马丽，白玉萍，张澜，绳宇编.html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