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利用输窑烟道气干燥砖坯的经验</w:t>
      </w:r>
    </w:p>
    <w:p>
      <w:r>
        <w:rPr>
          <w:rFonts w:ascii="宋体" w:hAnsi="宋体" w:eastAsia="宋体"/>
          <w:sz w:val="24"/>
        </w:rPr>
        <w:t>（苏）切尔纳克（Я.Н.Чернях），（苏）波斯别西娜（Е.А.Поспехина）编；新都砖瓦厂译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利用输窑烟道气干燥砖坯的经验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（苏）切尔纳克（Я.Н.Чернях），（苏）波斯别西娜（Е.А.Поспехина）编；新都砖瓦厂译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本书出售、求购地址：https://www.jiaokey.com/book/detail/11722511.html</w:t>
      </w:r>
    </w:p>
    <w:p>
      <w:r>
        <w:t>更多相关图书推荐：https://www.jiaokey.com</w:t>
      </w:r>
    </w:p>
    <w:p>
      <w:r>
        <w:t>（苏）切尔纳克（Я.Н.Чернях），（苏）波斯别西娜（Е.А.Поспехина）编；新都砖瓦厂译 其他作品：https://www.jiaokey.com/tag/（苏）切尔纳克（Я.Н.Чернях），（苏）波斯别西娜（Е.А.Поспехина）编；新都砖瓦厂译.html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关键词搜索：https://www.jiaokey.com/tag/利用输窑烟道气干燥砖坯的经验.html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