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广西壮族自治区装饰装修工程消耗量定额</w:t>
      </w:r>
    </w:p>
    <w:p>
      <w:r>
        <w:rPr>
          <w:rFonts w:ascii="宋体" w:hAnsi="宋体" w:eastAsia="宋体"/>
          <w:sz w:val="24"/>
        </w:rPr>
        <w:t>侯海林，莫良善主编；广西壮族自治区建设工程造价管理总站编制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广西壮族自治区装饰装修工程消耗量定额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侯海林，莫良善主编；广西壮族自治区建设工程造价管理总站编制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本书出售、求购地址：https://www.jiaokey.com/book/detail/11721552.html</w:t>
      </w:r>
    </w:p>
    <w:p>
      <w:r>
        <w:t>更多相关图书推荐：https://www.jiaokey.com</w:t>
      </w:r>
    </w:p>
    <w:p>
      <w:r>
        <w:t>侯海林，莫良善主编；广西壮族自治区建设工程造价管理总站编制 其他作品：https://www.jiaokey.com/tag/侯海林，莫良善主编；广西壮族自治区建设工程造价管理总站编制.html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关键词搜索：https://www.jiaokey.com/tag/广西壮族自治区装饰装修工程消耗量定额.html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