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中国商业银行创值能力研究</w:t>
      </w:r>
    </w:p>
    <w:p>
      <w:r>
        <w:rPr>
          <w:rFonts w:ascii="宋体" w:hAnsi="宋体" w:eastAsia="宋体"/>
          <w:sz w:val="24"/>
        </w:rPr>
        <w:t>关新红 著 · 教客网电子书</w:t>
      </w:r>
    </w:p>
    <w:p>
      <w:r>
        <w:t>找书就上教客网 —— www.jiaokey.com</w:t>
      </w:r>
    </w:p>
    <w:p/>
    <w:p>
      <w:r>
        <w:drawing>
          <wp:inline xmlns:a="http://schemas.openxmlformats.org/drawingml/2006/main" xmlns:pic="http://schemas.openxmlformats.org/drawingml/2006/picture">
            <wp:extent cx="2743200" cy="3977640"/>
            <wp:docPr id="1" name="Picture 1"/>
            <wp:cNvGraphicFramePr>
              <a:graphicFrameLocks noChangeAspect="1"/>
            </wp:cNvGraphicFramePr>
            <a:graphic>
              <a:graphicData uri="http://schemas.openxmlformats.org/drawingml/2006/picture">
                <pic:pic>
                  <pic:nvPicPr>
                    <pic:cNvPr id="0" name="11715755.jpg"/>
                    <pic:cNvPicPr/>
                  </pic:nvPicPr>
                  <pic:blipFill>
                    <a:blip r:embed="rId9"/>
                    <a:stretch>
                      <a:fillRect/>
                    </a:stretch>
                  </pic:blipFill>
                  <pic:spPr>
                    <a:xfrm>
                      <a:off x="0" y="0"/>
                      <a:ext cx="2743200" cy="397764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中国商业银行创值能力研究</w:t>
            </w:r>
          </w:p>
        </w:tc>
      </w:tr>
      <w:tr>
        <w:tc>
          <w:tcPr>
            <w:tcW w:type="dxa" w:w="4320"/>
          </w:tcPr>
          <w:p>
            <w:r>
              <w:t>作者</w:t>
            </w:r>
          </w:p>
        </w:tc>
        <w:tc>
          <w:tcPr>
            <w:tcW w:type="dxa" w:w="4320"/>
          </w:tcPr>
          <w:p>
            <w:r>
              <w:t>关新红</w:t>
            </w:r>
          </w:p>
        </w:tc>
      </w:tr>
      <w:tr>
        <w:tc>
          <w:tcPr>
            <w:tcW w:type="dxa" w:w="4320"/>
          </w:tcPr>
          <w:p>
            <w:r>
              <w:t>出版社</w:t>
            </w:r>
          </w:p>
        </w:tc>
        <w:tc>
          <w:tcPr>
            <w:tcW w:type="dxa" w:w="4320"/>
          </w:tcPr>
          <w:p>
            <w:r>
              <w:t>北京：社会科学文献出版社</w:t>
            </w:r>
          </w:p>
        </w:tc>
      </w:tr>
      <w:tr>
        <w:tc>
          <w:tcPr>
            <w:tcW w:type="dxa" w:w="4320"/>
          </w:tcPr>
          <w:p>
            <w:r>
              <w:t>ISBN</w:t>
            </w:r>
          </w:p>
        </w:tc>
        <w:tc>
          <w:tcPr>
            <w:tcW w:type="dxa" w:w="4320"/>
          </w:tcPr>
          <w:p>
            <w:r>
              <w:t>7802302072</w:t>
            </w:r>
          </w:p>
        </w:tc>
      </w:tr>
      <w:tr>
        <w:tc>
          <w:tcPr>
            <w:tcW w:type="dxa" w:w="4320"/>
          </w:tcPr>
          <w:p>
            <w:r>
              <w:t>出版日期</w:t>
            </w:r>
          </w:p>
        </w:tc>
        <w:tc>
          <w:tcPr>
            <w:tcW w:type="dxa" w:w="4320"/>
          </w:tcPr>
          <w:p>
            <w:r>
              <w:t>2006-07-01</w:t>
            </w:r>
          </w:p>
        </w:tc>
      </w:tr>
      <w:tr>
        <w:tc>
          <w:tcPr>
            <w:tcW w:type="dxa" w:w="4320"/>
          </w:tcPr>
          <w:p>
            <w:r>
              <w:t>页数</w:t>
            </w:r>
          </w:p>
        </w:tc>
        <w:tc>
          <w:tcPr>
            <w:tcW w:type="dxa" w:w="4320"/>
          </w:tcPr>
          <w:p>
            <w:r>
              <w:t>291</w:t>
            </w:r>
          </w:p>
        </w:tc>
      </w:tr>
      <w:tr>
        <w:tc>
          <w:tcPr>
            <w:tcW w:type="dxa" w:w="4320"/>
          </w:tcPr>
          <w:p>
            <w:r>
              <w:t>价格</w:t>
            </w:r>
          </w:p>
        </w:tc>
        <w:tc>
          <w:tcPr>
            <w:tcW w:type="dxa" w:w="4320"/>
          </w:tcPr>
          <w:p>
            <w:r/>
          </w:p>
        </w:tc>
      </w:tr>
      <w:tr>
        <w:tc>
          <w:tcPr>
            <w:tcW w:type="dxa" w:w="4320"/>
          </w:tcPr>
          <w:p>
            <w:r>
              <w:t>关键词</w:t>
            </w:r>
          </w:p>
        </w:tc>
        <w:tc>
          <w:tcPr>
            <w:tcW w:type="dxa" w:w="4320"/>
          </w:tcPr>
          <w:p>
            <w:r>
              <w:t>商业银行-资金管理-研究-中国</w:t>
            </w:r>
          </w:p>
        </w:tc>
      </w:tr>
      <w:tr>
        <w:tc>
          <w:tcPr>
            <w:tcW w:type="dxa" w:w="4320"/>
          </w:tcPr>
          <w:p>
            <w:r>
              <w:t>分类</w:t>
            </w:r>
          </w:p>
        </w:tc>
        <w:tc>
          <w:tcPr>
            <w:tcW w:type="dxa" w:w="4320"/>
          </w:tcPr>
          <w:p>
            <w:r>
              <w:t>中国金融、银行</w:t>
            </w:r>
          </w:p>
        </w:tc>
      </w:tr>
    </w:tbl>
    <w:p/>
    <w:p>
      <w:pPr>
        <w:pStyle w:val="Heading1"/>
      </w:pPr>
      <w:r>
        <w:t>图书介绍</w:t>
      </w:r>
    </w:p>
    <w:p>
      <w:r>
        <w:t>商业银行的创值能力是商业银行充分考虑了资本机会成本的生产能力，是对银行经营者为所有者增值活动努力情况的真实反映。评价创值能力可以为商业银行优化资本配置与流动提供准确的效益导向信号，同时还可以起到避免管理者为追求近期高额利润而引起的短视行为的发生。本文……</w:t>
      </w:r>
    </w:p>
    <w:p/>
    <w:p>
      <w:r>
        <w:t>本书出售、求购地址：https://www.jiaokey.com/book/detail/11715755.html</w:t>
      </w:r>
    </w:p>
    <w:p>
      <w:r>
        <w:t>更多中国金融、银行图书推荐：https://www.jiaokey.com</w:t>
      </w:r>
    </w:p>
    <w:p>
      <w:r>
        <w:t>关新红 其他作品：https://www.jiaokey.com/tag/关新红.html</w:t>
      </w:r>
    </w:p>
    <w:p>
      <w:r>
        <w:t>北京：社会科学文献出版社 出版图书：https://www.jiaokey.com/tag/北京：社会科学文献出版社.html</w:t>
      </w:r>
    </w:p>
    <w:p>
      <w:r>
        <w:t>关键词搜索：https://www.jiaokey.com/tag/商业银行-资金管理-研究-中国.html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