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荒漠的智慧</w:t>
      </w:r>
    </w:p>
    <w:p>
      <w:r>
        <w:rPr>
          <w:rFonts w:ascii="宋体" w:hAnsi="宋体" w:eastAsia="宋体"/>
          <w:sz w:val="24"/>
        </w:rPr>
        <w:t>（美）卢云导读，（日）野村汤史作画及英译；庄柔玉中译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（美）卢云导读，（日）野村汤史作画及英译；庄柔玉中译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本书出售、求购地址：https://www.jiaokey.com/book/detail/11705410.html</w:t>
      </w:r>
    </w:p>
    <w:p>
      <w:r>
        <w:t>更多相关图书推荐：https://www.jiaokey.com</w:t>
      </w:r>
    </w:p>
    <w:p>
      <w:r>
        <w:t>（美）卢云导读，（日）野村汤史作画及英译；庄柔玉中译 其他作品：https://www.jiaokey.com/tag/（美）卢云导读，（日）野村汤史作画及英译；庄柔玉中译.html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关键词搜索：https://www.jiaokey.com/tag/荒漠的智慧.html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