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21世纪的黑金</w:t>
      </w:r>
    </w:p>
    <w:p>
      <w:r>
        <w:rPr>
          <w:rFonts w:ascii="宋体" w:hAnsi="宋体" w:eastAsia="宋体"/>
          <w:sz w:val="24"/>
        </w:rPr>
        <w:t>（法）蒲吉兰（Fabre，G.）著；贾春娟，李玉平，苏启运译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21世纪的黑金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（法）蒲吉兰（Fabre，G.）著；贾春娟，李玉平，苏启运译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本书出售、求购地址：https://www.jiaokey.com/book/detail/11705127.html</w:t>
      </w:r>
    </w:p>
    <w:p>
      <w:r>
        <w:t>更多相关图书推荐：https://www.jiaokey.com</w:t>
      </w:r>
    </w:p>
    <w:p>
      <w:r>
        <w:t>（法）蒲吉兰（Fabre，G.）著；贾春娟，李玉平，苏启运译 其他作品：https://www.jiaokey.com/tag/（法）蒲吉兰（Fabre，G.）著；贾春娟，李玉平，苏启运译.html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关键词搜索：https://www.jiaokey.com/tag/21世纪的黑金.html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