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仁斋直指方</w:t>
      </w:r>
    </w:p>
    <w:p>
      <w:r>
        <w:rPr>
          <w:rFonts w:ascii="宋体" w:hAnsi="宋体" w:eastAsia="宋体"/>
          <w:sz w:val="24"/>
        </w:rPr>
        <w:t>（南宋）杨士瀛原著；孙玉信，朱平生主编校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仁斋直指方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（南宋）杨士瀛原著；孙玉信，朱平生主编校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上海：第二军医大学出版社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本书出售、求购地址：https://www.jiaokey.com/book/detail/11700343.html</w:t>
      </w:r>
    </w:p>
    <w:p>
      <w:r>
        <w:t>更多相关图书推荐：https://www.jiaokey.com</w:t>
      </w:r>
    </w:p>
    <w:p>
      <w:r>
        <w:t>（南宋）杨士瀛原著；孙玉信，朱平生主编校 其他作品：https://www.jiaokey.com/tag/（南宋）杨士瀛原著；孙玉信，朱平生主编校.html</w:t>
      </w:r>
    </w:p>
    <w:p>
      <w:r>
        <w:t>上海：第二军医大学出版社 出版图书：https://www.jiaokey.com/tag/上海：第二军医大学出版社.html</w:t>
      </w:r>
    </w:p>
    <w:p>
      <w:r>
        <w:t>关键词搜索：https://www.jiaokey.com/tag/仁斋直指方.html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