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密封采油法</w:t>
      </w:r>
    </w:p>
    <w:p>
      <w:r>
        <w:rPr>
          <w:rFonts w:ascii="宋体" w:hAnsi="宋体" w:eastAsia="宋体"/>
          <w:sz w:val="24"/>
        </w:rPr>
        <w:t>（苏）古谢依诺夫（Т.А.Гусейнов）著；石油工业部四川设计院译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密封采油法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（苏）古谢依诺夫（Т.А.Гусейнов）著；石油工业部四川设计院译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本书出售、求购地址：https://www.jiaokey.com/book/detail/11689101.html</w:t>
      </w:r>
    </w:p>
    <w:p>
      <w:r>
        <w:t>更多相关图书推荐：https://www.jiaokey.com</w:t>
      </w:r>
    </w:p>
    <w:p>
      <w:r>
        <w:t>（苏）古谢依诺夫（Т.А.Гусейнов）著；石油工业部四川设计院译 其他作品：https://www.jiaokey.com/tag/（苏）古谢依诺夫（Т.А.Гусейнов）著；石油工业部四川设计院译.html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关键词搜索：https://www.jiaokey.com/tag/密封采油法.html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