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马克思主义基本原理专题解析</w:t>
      </w:r>
    </w:p>
    <w:p>
      <w:r>
        <w:rPr>
          <w:rFonts w:ascii="宋体" w:hAnsi="宋体" w:eastAsia="宋体"/>
          <w:sz w:val="24"/>
        </w:rPr>
        <w:t>赖亦明，汪荣有主编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马克思主义基本原理专题解析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赖亦明，汪荣有主编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本书出售、求购地址：https://www.jiaokey.com/book/detail/11687937.html</w:t>
      </w:r>
    </w:p>
    <w:p>
      <w:r>
        <w:t>更多相关图书推荐：https://www.jiaokey.com</w:t>
      </w:r>
    </w:p>
    <w:p>
      <w:r>
        <w:t>赖亦明，汪荣有主编 其他作品：https://www.jiaokey.com/tag/赖亦明，汪荣有主编.html</w:t>
      </w:r>
    </w:p>
    <w:p>
      <w:r>
        <w:t>合肥：安徽大学出版社 出版图书：https://www.jiaokey.com/tag/合肥：安徽大学出版社.html</w:t>
      </w:r>
    </w:p>
    <w:p>
      <w:r>
        <w:t>关键词搜索：https://www.jiaokey.com/tag/马克思主义基本原理专题解析.html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