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高速公路经营管理</w:t>
      </w:r>
    </w:p>
    <w:p>
      <w:r>
        <w:rPr>
          <w:rFonts w:ascii="宋体" w:hAnsi="宋体" w:eastAsia="宋体"/>
          <w:sz w:val="24"/>
        </w:rPr>
        <w:t>中国交通教育研究会组织编写；周国光主编；祁洪祥副主编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中国交通教育研究会组织编写；周国光主编；祁洪祥副主编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本书出售、求购地址：https://www.jiaokey.com/book/detail/11679342.html</w:t>
      </w:r>
    </w:p>
    <w:p>
      <w:r>
        <w:t>更多相关图书推荐：https://www.jiaokey.com</w:t>
      </w:r>
    </w:p>
    <w:p>
      <w:r>
        <w:t>中国交通教育研究会组织编写；周国光主编；祁洪祥副主编 其他作品：https://www.jiaokey.com/tag/中国交通教育研究会组织编写；周国光主编；祁洪祥副主编.html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