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韩国饲料法规</w:t>
      </w:r>
    </w:p>
    <w:p>
      <w:r>
        <w:rPr>
          <w:rFonts w:ascii="宋体" w:hAnsi="宋体" w:eastAsia="宋体"/>
          <w:sz w:val="24"/>
        </w:rPr>
        <w:t>杨振海，杨曙明，朴香淑，严昌国，金成光主译；韩国农林部等主编；全国饲料工作办公室，国家饲料质量监督检验中心（北京）译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韩国饲料法规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杨振海，杨曙明，朴香淑，严昌国，金成光主译；韩国农林部等主编；全国饲料工作办公室，国家饲料质量监督检验中心（北京）译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本书出售、求购地址：https://www.jiaokey.com/book/detail/11679216.html</w:t>
      </w:r>
    </w:p>
    <w:p>
      <w:r>
        <w:t>更多相关图书推荐：https://www.jiaokey.com</w:t>
      </w:r>
    </w:p>
    <w:p>
      <w:r>
        <w:t>杨振海，杨曙明，朴香淑，严昌国，金成光主译；韩国农林部等主编；全国饲料工作办公室，国家饲料质量监督检验中心（北京）译 其他作品：https://www.jiaokey.com/tag/杨振海，杨曙明，朴香淑，严昌国，金成光主译；韩国农林部等主编；全国饲料工作办公室，国家饲料质量监督检验中心（北京）译.html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关键词搜索：https://www.jiaokey.com/tag/韩国饲料法规.html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