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中国企业的所有制改革  进程、成效及其前景</w:t>
      </w:r>
    </w:p>
    <w:p>
      <w:r>
        <w:rPr>
          <w:rFonts w:ascii="宋体" w:hAnsi="宋体" w:eastAsia="宋体"/>
          <w:sz w:val="24"/>
        </w:rPr>
        <w:t>宋立刚等著；《中国企业的所有制改革》翻译组译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中国企业的所有制改革  进程、成效及其前景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宋立刚等著；《中国企业的所有制改革》翻译组译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本书出售、求购地址：https://www.jiaokey.com/book/detail/11664894.html</w:t>
      </w:r>
    </w:p>
    <w:p>
      <w:r>
        <w:t>更多相关图书推荐：https://www.jiaokey.com</w:t>
      </w:r>
    </w:p>
    <w:p>
      <w:r>
        <w:t>宋立刚等著；《中国企业的所有制改革》翻译组译 其他作品：https://www.jiaokey.com/tag/宋立刚等著；《中国企业的所有制改革》翻译组译.html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关键词搜索：https://www.jiaokey.com/tag/中国企业的所有制改革  进程、成效及其前景.html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