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2006年第7-8辑  总第87-88辑</w:t>
      </w:r>
    </w:p>
    <w:p>
      <w:r>
        <w:rPr>
          <w:rFonts w:ascii="宋体" w:hAnsi="宋体" w:eastAsia="宋体"/>
          <w:sz w:val="24"/>
        </w:rPr>
        <w:t>杨殿奎  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2006年第7-8辑  总第87-88辑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  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本书出售、求购地址：https://www.jiaokey.com/book/detail/11661530.html</w:t>
      </w:r>
    </w:p>
    <w:p>
      <w:r>
        <w:t>更多相关图书推荐：https://www.jiaokey.com</w:t>
      </w:r>
    </w:p>
    <w:p>
      <w:r>
        <w:t>杨殿奎  吴心田主编 其他作品：https://www.jiaokey.com/tag/杨殿奎  吴心田主编.html</w:t>
      </w:r>
    </w:p>
    <w:p>
      <w:r>
        <w:t>明天出版社 出版图书：https://www.jiaokey.com/tag/明天出版社.html</w:t>
      </w:r>
    </w:p>
    <w:p>
      <w:r>
        <w:t>关键词搜索：https://www.jiaokey.com/tag/中学生读写  2006年第7-8辑  总第87-88辑.html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