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多元智慧培养亲子游戏100例  2-3岁</w:t>
      </w:r>
    </w:p>
    <w:p>
      <w:r>
        <w:rPr>
          <w:rFonts w:ascii="宋体" w:hAnsi="宋体" w:eastAsia="宋体"/>
          <w:sz w:val="24"/>
        </w:rPr>
        <w:t>北京红黄蓝教学研究中心等编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多元智慧培养亲子游戏100例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北京红黄蓝教学研究中心等编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本书出售、求购地址：https://www.jiaokey.com/book/detail/11656625.html</w:t>
      </w:r>
    </w:p>
    <w:p>
      <w:r>
        <w:t>更多相关图书推荐：https://www.jiaokey.com</w:t>
      </w:r>
    </w:p>
    <w:p>
      <w:r>
        <w:t>北京红黄蓝教学研究中心等编 其他作品：https://www.jiaokey.com/tag/北京红黄蓝教学研究中心等编.html</w:t>
      </w:r>
    </w:p>
    <w:p>
      <w:r>
        <w:t>中国宇航出版社 出版图书：https://www.jiaokey.com/tag/中国宇航出版社.html</w:t>
      </w:r>
    </w:p>
    <w:p>
      <w:r>
        <w:t>关键词搜索：https://www.jiaokey.com/tag/多元智慧培养亲子游戏100例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