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新课标初中古诗文一课二读</w:t>
      </w:r>
    </w:p>
    <w:p>
      <w:r>
        <w:rPr>
          <w:rFonts w:ascii="宋体" w:hAnsi="宋体" w:eastAsia="宋体"/>
          <w:sz w:val="24"/>
        </w:rPr>
        <w:t>郁洪千编写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新课标初中古诗文一课二读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郁洪千编写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本书出售、求购地址：https://www.jiaokey.com/book/detail/11652220.html</w:t>
      </w:r>
    </w:p>
    <w:p>
      <w:r>
        <w:t>更多相关图书推荐：https://www.jiaokey.com</w:t>
      </w:r>
    </w:p>
    <w:p>
      <w:r>
        <w:t>郁洪千编写 其他作品：https://www.jiaokey.com/tag/郁洪千编写.html</w:t>
      </w:r>
    </w:p>
    <w:p>
      <w:r>
        <w:t>凤凰出版传媒集团 出版图书：https://www.jiaokey.com/tag/凤凰出版传媒集团.html</w:t>
      </w:r>
    </w:p>
    <w:p>
      <w:r>
        <w:t>关键词搜索：https://www.jiaokey.com/tag/新课标初中古诗文一课二读.html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