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症因脉治</w:t>
      </w:r>
    </w:p>
    <w:p>
      <w:r>
        <w:rPr>
          <w:rFonts w:ascii="宋体" w:hAnsi="宋体" w:eastAsia="宋体"/>
          <w:sz w:val="24"/>
        </w:rPr>
        <w:t>（明）秦景明撰；（清）秦皇士补辑；郭霞珍等整理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症因脉治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（明）秦景明撰；（清）秦皇士补辑；郭霞珍等整理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本书出售、求购地址：https://www.jiaokey.com/book/detail/11650124.html</w:t>
      </w:r>
    </w:p>
    <w:p>
      <w:r>
        <w:t>更多相关图书推荐：https://www.jiaokey.com</w:t>
      </w:r>
    </w:p>
    <w:p>
      <w:r>
        <w:t>（明）秦景明撰；（清）秦皇士补辑；郭霞珍等整理 其他作品：https://www.jiaokey.com/tag/（明）秦景明撰；（清）秦皇士补辑；郭霞珍等整理.html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关键词搜索：https://www.jiaokey.com/tag/症因脉治.html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