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中小企业企划国际化管理案例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中小企业企划国际化管理案例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本书出售、求购地址：https://www.jiaokey.com/book/detail/11648396.html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关键词搜索：https://www.jiaokey.com/tag/中小企业企划国际化管理案例.html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