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印刷概论</w:t>
      </w:r>
    </w:p>
    <w:p>
      <w:r>
        <w:rPr>
          <w:rFonts w:ascii="宋体" w:hAnsi="宋体" w:eastAsia="宋体"/>
          <w:sz w:val="24"/>
        </w:rPr>
        <w:t>王野光主编；高秀琴，李金永，王燕明，熊维娟，陈晓红编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王野光主编；高秀琴，李金永，王燕明，熊维娟，陈晓红编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本书出售、求购地址：https://www.jiaokey.com/book/detail/11647881.html</w:t>
      </w:r>
    </w:p>
    <w:p>
      <w:r>
        <w:t>更多相关图书推荐：https://www.jiaokey.com</w:t>
      </w:r>
    </w:p>
    <w:p>
      <w:r>
        <w:t>王野光主编；高秀琴，李金永，王燕明，熊维娟，陈晓红编 其他作品：https://www.jiaokey.com/tag/王野光主编；高秀琴，李金永，王燕明，熊维娟，陈晓红编.html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关键词搜索：https://www.jiaokey.com/tag/印刷概论.html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