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中风病辨证论治</w:t>
      </w:r>
    </w:p>
    <w:p>
      <w:r>
        <w:rPr>
          <w:rFonts w:ascii="宋体" w:hAnsi="宋体" w:eastAsia="宋体"/>
          <w:sz w:val="24"/>
        </w:rPr>
        <w:t>韩振廷主编；韩庆国，韩庆华，崔永珍，韩玉娟，韩素娟副主编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韩振廷主编；韩庆国，韩庆华，崔永珍，韩玉娟，韩素娟副主编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中风-辩证论治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本书出售、求购地址：https://www.jiaokey.com/book/detail/11647595.html</w:t>
      </w:r>
    </w:p>
    <w:p>
      <w:r>
        <w:t>更多相关图书推荐：https://www.jiaokey.com</w:t>
      </w:r>
    </w:p>
    <w:p>
      <w:r>
        <w:t>韩振廷主编；韩庆国，韩庆华，崔永珍，韩玉娟，韩素娟副主编 其他作品：https://www.jiaokey.com/tag/韩振廷主编；韩庆国，韩庆华，崔永珍，韩玉娟，韩素娟副主编.html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关键词搜索：https://www.jiaokey.com/tag/中风-辩证论治.html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