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经济法案例精粹</w:t>
      </w:r>
    </w:p>
    <w:p>
      <w:r>
        <w:rPr>
          <w:rFonts w:ascii="宋体" w:hAnsi="宋体" w:eastAsia="宋体"/>
          <w:sz w:val="24"/>
        </w:rPr>
        <w:t>刘寿礼，徐忠麟，黄顺春主编；肖祥伟，宋金华，张兰副主编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刘寿礼，徐忠麟，黄顺春主编；肖祥伟，宋金华，张兰副主编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本书出售、求购地址：https://www.jiaokey.com/book/detail/11647383.html</w:t>
      </w:r>
    </w:p>
    <w:p>
      <w:r>
        <w:t>更多相关图书推荐：https://www.jiaokey.com</w:t>
      </w:r>
    </w:p>
    <w:p>
      <w:r>
        <w:t>刘寿礼，徐忠麟，黄顺春主编；肖祥伟，宋金华，张兰副主编 其他作品：https://www.jiaokey.com/tag/刘寿礼，徐忠麟，黄顺春主编；肖祥伟，宋金华，张兰副主编.html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关键词搜索：https://www.jiaokey.com/tag/经济法案例精粹.html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