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发挥财政职能振兴县域经济</w:t>
      </w:r>
    </w:p>
    <w:p>
      <w:r>
        <w:rPr>
          <w:rFonts w:ascii="宋体" w:hAnsi="宋体" w:eastAsia="宋体"/>
          <w:sz w:val="24"/>
        </w:rPr>
        <w:t>朱玉明，周春雨主编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发挥财政职能振兴县域经济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朱玉明，周春雨主编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本书出售、求购地址：https://www.jiaokey.com/book/detail/11647236.html</w:t>
      </w:r>
    </w:p>
    <w:p>
      <w:r>
        <w:t>更多相关图书推荐：https://www.jiaokey.com</w:t>
      </w:r>
    </w:p>
    <w:p>
      <w:r>
        <w:t>朱玉明，周春雨主编 其他作品：https://www.jiaokey.com/tag/朱玉明，周春雨主编.html</w:t>
      </w:r>
    </w:p>
    <w:p>
      <w:r>
        <w:t>合肥市：安徽大学出版社 出版图书：https://www.jiaokey.com/tag/合肥市：安徽大学出版社.html</w:t>
      </w:r>
    </w:p>
    <w:p>
      <w:r>
        <w:t>关键词搜索：https://www.jiaokey.com/tag/发挥财政职能振兴县域经济.html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