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中药处方与调剂规范</w:t>
      </w:r>
    </w:p>
    <w:p>
      <w:r>
        <w:rPr>
          <w:rFonts w:ascii="宋体" w:hAnsi="宋体" w:eastAsia="宋体"/>
          <w:sz w:val="24"/>
        </w:rPr>
        <w:t>深圳市卫生局组织编写，廖利平，刘荣禄主编；蒋红玉，吴正治，袁劲松，张炜宁，李顺民，孟庆春副主编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中药处方与调剂规范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深圳市卫生局组织编写，廖利平，刘荣禄主编；蒋红玉，吴正治，袁劲松，张炜宁，李顺民，孟庆春副主编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本书出售、求购地址：https://www.jiaokey.com/book/detail/11642470.html</w:t>
      </w:r>
    </w:p>
    <w:p>
      <w:r>
        <w:t>更多相关图书推荐：https://www.jiaokey.com</w:t>
      </w:r>
    </w:p>
    <w:p>
      <w:r>
        <w:t>深圳市卫生局组织编写，廖利平，刘荣禄主编；蒋红玉，吴正治，袁劲松，张炜宁，李顺民，孟庆春副主编 其他作品：https://www.jiaokey.com/tag/深圳市卫生局组织编写，廖利平，刘荣禄主编；蒋红玉，吴正治，袁劲松，张炜宁，李顺民，孟庆春副主编.html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关键词搜索：https://www.jiaokey.com/tag/中药处方与调剂规范.html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