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最新公司法理解与适用</w:t>
      </w:r>
    </w:p>
    <w:p>
      <w:r>
        <w:rPr>
          <w:rFonts w:ascii="宋体" w:hAnsi="宋体" w:eastAsia="宋体"/>
          <w:sz w:val="24"/>
        </w:rPr>
        <w:t>江平，李国光主编；高圣平，李明良，王春丽，郭文婧副主编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最新公司法理解与适用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江平，李国光主编；高圣平，李明良，王春丽，郭文婧副主编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本书出售、求购地址：https://www.jiaokey.com/book/detail/11642086.html</w:t>
      </w:r>
    </w:p>
    <w:p>
      <w:r>
        <w:t>更多相关图书推荐：https://www.jiaokey.com</w:t>
      </w:r>
    </w:p>
    <w:p>
      <w:r>
        <w:t>江平，李国光主编；高圣平，李明良，王春丽，郭文婧副主编 其他作品：https://www.jiaokey.com/tag/江平，李国光主编；高圣平，李明良，王春丽，郭文婧副主编.html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关键词搜索：https://www.jiaokey.com/tag/最新公司法理解与适用.html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