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新药临床应用手册</w:t>
      </w:r>
    </w:p>
    <w:p>
      <w:r>
        <w:rPr>
          <w:rFonts w:ascii="宋体" w:hAnsi="宋体" w:eastAsia="宋体"/>
          <w:sz w:val="24"/>
        </w:rPr>
        <w:t>王淑梅，殷立新主编；张志清，王川平副主编；崔晓红，杨秀岭，张燕梅，杨晓光，丁力，靳怡然，刘焕龙编者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王淑梅，殷立新主编；张志清，王川平副主编；崔晓红，杨秀岭，张燕梅，杨晓光，丁力，靳怡然，刘焕龙编者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本书出售、求购地址：https://www.jiaokey.com/book/detail/11632971.html</w:t>
      </w:r>
    </w:p>
    <w:p>
      <w:r>
        <w:t>更多相关图书推荐：https://www.jiaokey.com</w:t>
      </w:r>
    </w:p>
    <w:p>
      <w:r>
        <w:t>王淑梅，殷立新主编；张志清，王川平副主编；崔晓红，杨秀岭，张燕梅，杨晓光，丁力，靳怡然，刘焕龙编者 其他作品：https://www.jiaokey.com/tag/王淑梅，殷立新主编；张志清，王川平副主编；崔晓红，杨秀岭，张燕梅，杨晓光，丁力，靳怡然，刘焕龙编者.html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