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煤矿通风能力核定实用指南</w:t>
      </w:r>
    </w:p>
    <w:p>
      <w:r>
        <w:rPr>
          <w:rFonts w:ascii="宋体" w:hAnsi="宋体" w:eastAsia="宋体"/>
          <w:sz w:val="24"/>
        </w:rPr>
        <w:t>陈国新，窦永山主编；侯登双等编写；《煤矿通风能力核定实用指南》编委会编著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煤矿通风能力核定实用指南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陈国新，窦永山主编；侯登双等编写；《煤矿通风能力核定实用指南》编委会编著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本书出售、求购地址：https://www.jiaokey.com/book/detail/11632803.html</w:t>
      </w:r>
    </w:p>
    <w:p>
      <w:r>
        <w:t>更多相关图书推荐：https://www.jiaokey.com</w:t>
      </w:r>
    </w:p>
    <w:p>
      <w:r>
        <w:t>陈国新，窦永山主编；侯登双等编写；《煤矿通风能力核定实用指南》编委会编著 其他作品：https://www.jiaokey.com/tag/陈国新，窦永山主编；侯登双等编写；《煤矿通风能力核定实用指南》编委会编著.html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关键词搜索：https://www.jiaokey.com/tag/煤矿通风能力核定实用指南.html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