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新类型民商事判例评析</w:t>
      </w:r>
    </w:p>
    <w:p>
      <w:r>
        <w:rPr>
          <w:rFonts w:ascii="宋体" w:hAnsi="宋体" w:eastAsia="宋体"/>
          <w:sz w:val="24"/>
        </w:rPr>
        <w:t>山东省高级人民法院民二庭编；郝明金主编；冷绍民，张爱云，孟祥刚副主编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新类型民商事判例评析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山东省高级人民法院民二庭编；郝明金主编；冷绍民，张爱云，孟祥刚副主编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本书出售、求购地址：https://www.jiaokey.com/book/detail/11632458.html</w:t>
      </w:r>
    </w:p>
    <w:p>
      <w:r>
        <w:t>更多相关图书推荐：https://www.jiaokey.com</w:t>
      </w:r>
    </w:p>
    <w:p>
      <w:r>
        <w:t>山东省高级人民法院民二庭编；郝明金主编；冷绍民，张爱云，孟祥刚副主编 其他作品：https://www.jiaokey.com/tag/山东省高级人民法院民二庭编；郝明金主编；冷绍民，张爱云，孟祥刚副主编.html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关键词搜索：https://www.jiaokey.com/tag/新类型民商事判例评析.html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