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书名：后发优势源于改革先行 《中国经济时报》聚焦南宁改革 China economic time focus on Nanning reformation</w:t>
      </w:r>
    </w:p>
    <w:p>
      <w:r>
        <w:t>作者:车海刚，李银雁主编</w:t>
      </w:r>
    </w:p>
    <w:p>
      <w:r>
        <w:t>出版社:南宁：广西人民出版社</w:t>
      </w:r>
    </w:p>
    <w:p>
      <w:r>
        <w:t>出版日期：2006.02</w:t>
      </w:r>
    </w:p>
    <w:p>
      <w:r>
        <w:t>总页数：272</w:t>
      </w:r>
    </w:p>
    <w:p>
      <w:r>
        <w:t>更多请访问教客网:www.jiaokey.com</w:t>
      </w:r>
    </w:p>
    <w:p>
      <w:r>
        <w:t>后发优势源于改革先行 《中国经济时报》聚焦南宁改革 China economic time focus on Nanning reformation评论地址：https://www.jiaokey.com/book/detail/11632301.html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