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色彩教学研究</w:t>
      </w:r>
    </w:p>
    <w:p>
      <w:r>
        <w:rPr>
          <w:rFonts w:ascii="宋体" w:hAnsi="宋体" w:eastAsia="宋体"/>
          <w:sz w:val="24"/>
        </w:rPr>
        <w:t>苏晓民，尹国有主编；李胜龙，王辉宇，肖明副主编；苏晓民，刘新波，曹星飞，胡春达编著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苏晓民，尹国有主编；李胜龙，王辉宇，肖明副主编；苏晓民，刘新波，曹星飞，胡春达编著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本书出售、求购地址：https://www.jiaokey.com/book/detail/11631326.html</w:t>
      </w:r>
    </w:p>
    <w:p>
      <w:r>
        <w:t>更多相关图书推荐：https://www.jiaokey.com</w:t>
      </w:r>
    </w:p>
    <w:p>
      <w:r>
        <w:t>苏晓民，尹国有主编；李胜龙，王辉宇，肖明副主编；苏晓民，刘新波，曹星飞，胡春达编著 其他作品：https://www.jiaokey.com/tag/苏晓民，尹国有主编；李胜龙，王辉宇，肖明副主编；苏晓民，刘新波，曹星飞，胡春达编著.html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