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语文·文言文阅读</w:t>
      </w:r>
    </w:p>
    <w:p>
      <w:r>
        <w:rPr>
          <w:rFonts w:ascii="宋体" w:hAnsi="宋体" w:eastAsia="宋体"/>
          <w:sz w:val="24"/>
        </w:rPr>
        <w:t>金诚主编；夏风，刘笑本册主编；江莹溢，金明，彭海霞，刘伯敏，常中华，陈正道编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语文·文言文阅读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金诚主编；夏风，刘笑本册主编；江莹溢，金明，彭海霞，刘伯敏，常中华，陈正道编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本书出售、求购地址：https://www.jiaokey.com/book/detail/11630347.html</w:t>
      </w:r>
    </w:p>
    <w:p>
      <w:r>
        <w:t>更多相关图书推荐：https://www.jiaokey.com</w:t>
      </w:r>
    </w:p>
    <w:p>
      <w:r>
        <w:t>金诚主编；夏风，刘笑本册主编；江莹溢，金明，彭海霞，刘伯敏，常中华，陈正道编 其他作品：https://www.jiaokey.com/tag/金诚主编；夏风，刘笑本册主编；江莹溢，金明，彭海霞，刘伯敏，常中华，陈正道编.html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语文·文言文阅读.html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