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水资源规划及利用</w:t>
      </w:r>
    </w:p>
    <w:p>
      <w:r>
        <w:rPr>
          <w:rFonts w:ascii="宋体" w:hAnsi="宋体" w:eastAsia="宋体"/>
          <w:sz w:val="24"/>
        </w:rPr>
        <w:t>何俊仕，林洪孝主编；马永胜，董天松，刘玉春，田军仓，李靖，王秋梅副主编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何俊仕，林洪孝主编；马永胜，董天松，刘玉春，田军仓，李靖，王秋梅副主编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本书出售、求购地址：https://www.jiaokey.com/book/detail/11629740.html</w:t>
      </w:r>
    </w:p>
    <w:p>
      <w:r>
        <w:t>更多相关图书推荐：https://www.jiaokey.com</w:t>
      </w:r>
    </w:p>
    <w:p>
      <w:r>
        <w:t>何俊仕，林洪孝主编；马永胜，董天松，刘玉春，田军仓，李靖，王秋梅副主编 其他作品：https://www.jiaokey.com/tag/何俊仕，林洪孝主编；马永胜，董天松，刘玉春，田军仓，李靖，王秋梅副主编.html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关键词搜索：https://www.jiaokey.com/tag/水资源规划及利用.html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