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刑法分则及配套规定新释新解  中  第4版</w:t>
      </w:r>
    </w:p>
    <w:p>
      <w:r>
        <w:rPr>
          <w:rFonts w:ascii="宋体" w:hAnsi="宋体" w:eastAsia="宋体"/>
          <w:sz w:val="24"/>
        </w:rPr>
        <w:t>刘家琛主编；丁天球，郭书山，高金洪副主编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刑法分则及配套规定新释新解  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刘家琛主编；丁天球，郭书山，高金洪副主编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本书出售、求购地址：https://www.jiaokey.com/book/detail/11628325.html</w:t>
      </w:r>
    </w:p>
    <w:p>
      <w:r>
        <w:t>更多相关图书推荐：https://www.jiaokey.com</w:t>
      </w:r>
    </w:p>
    <w:p>
      <w:r>
        <w:t>刘家琛主编；丁天球，郭书山，高金洪副主编 其他作品：https://www.jiaokey.com/tag/刘家琛主编；丁天球，郭书山，高金洪副主编.html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关键词搜索：https://www.jiaokey.com/tag/刑法分则及配套规定新释新解  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