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物业管理操作实用手册  操作卷  上</w:t>
      </w:r>
    </w:p>
    <w:p>
      <w:r>
        <w:rPr>
          <w:rFonts w:ascii="宋体" w:hAnsi="宋体" w:eastAsia="宋体"/>
          <w:sz w:val="24"/>
        </w:rPr>
        <w:t>穆汉卿，汤浩，李仲仁主编；曾学林，房春祥，蔡春萌，李健，张朝德，胡艳曦，陈强副主编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物业管理操作实用手册  操作卷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穆汉卿，汤浩，李仲仁主编；曾学林，房春祥，蔡春萌，李健，张朝德，胡艳曦，陈强副主编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本书出售、求购地址：https://www.jiaokey.com/book/detail/11623629.html</w:t>
      </w:r>
    </w:p>
    <w:p>
      <w:r>
        <w:t>更多相关图书推荐：https://www.jiaokey.com</w:t>
      </w:r>
    </w:p>
    <w:p>
      <w:r>
        <w:t>穆汉卿，汤浩，李仲仁主编；曾学林，房春祥，蔡春萌，李健，张朝德，胡艳曦，陈强副主编 其他作品：https://www.jiaokey.com/tag/穆汉卿，汤浩，李仲仁主编；曾学林，房春祥，蔡春萌，李健，张朝德，胡艳曦，陈强副主编.html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关键词搜索：https://www.jiaokey.com/tag/物业管理操作实用手册  操作卷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