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2.0开发指南</w:t>
      </w:r>
    </w:p>
    <w:p>
      <w:r>
        <w:rPr>
          <w:rFonts w:ascii="宋体" w:hAnsi="宋体" w:eastAsia="宋体"/>
          <w:sz w:val="24"/>
        </w:rPr>
        <w:t>郝刚主编；袁永刚，严治国，何宇光编著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2.0开发指南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郝刚主编；袁永刚，严治国，何宇光编著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本书出售、求购地址：https://www.jiaokey.com/book/detail/11619726.html</w:t>
      </w:r>
    </w:p>
    <w:p>
      <w:r>
        <w:t>更多相关图书推荐：https://www.jiaokey.com</w:t>
      </w:r>
    </w:p>
    <w:p>
      <w:r>
        <w:t>郝刚主编；袁永刚，严治国，何宇光编著 其他作品：https://www.jiaokey.com/tag/郝刚主编；袁永刚，严治国，何宇光编著.html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关键词搜索：https://www.jiaokey.com/tag/ASP.NET 2.0开发指南.html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