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BASIC用户手册</w:t>
      </w:r>
    </w:p>
    <w:p>
      <w:r>
        <w:rPr>
          <w:rFonts w:ascii="宋体" w:hAnsi="宋体" w:eastAsia="宋体"/>
          <w:sz w:val="24"/>
        </w:rPr>
        <w:t>杨文龙，刘维琮编译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杨文龙，刘维琮编译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本书出售、求购地址：https://www.jiaokey.com/book/detail/11607696.html</w:t>
      </w:r>
    </w:p>
    <w:p>
      <w:r>
        <w:t>更多相关图书推荐：https://www.jiaokey.com</w:t>
      </w:r>
    </w:p>
    <w:p>
      <w:r>
        <w:t>杨文龙，刘维琮编译 其他作品：https://www.jiaokey.com/tag/杨文龙，刘维琮编译.html</w:t>
      </w:r>
    </w:p>
    <w:p>
      <w:r>
        <w:t>太原市计算机学会 出版图书：https://www.jiaokey.com/tag/太原市计算机学会.html</w:t>
      </w:r>
    </w:p>
    <w:p>
      <w:r>
        <w:t>关键词搜索：https://www.jiaokey.com/tag/BASIC用户手册.html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