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文学语言与文章体式  从晚清到“五四”</w:t>
      </w:r>
    </w:p>
    <w:p>
      <w:r>
        <w:rPr>
          <w:rFonts w:ascii="宋体" w:hAnsi="宋体" w:eastAsia="宋体"/>
          <w:sz w:val="24"/>
        </w:rPr>
        <w:t>夏晓虹，王风等著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文学语言与文章体式  从晚清到“五四”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夏晓虹，王风等著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本书出售、求购地址：https://www.jiaokey.com/book/detail/11600710.html</w:t>
      </w:r>
    </w:p>
    <w:p>
      <w:r>
        <w:t>更多相关图书推荐：https://www.jiaokey.com</w:t>
      </w:r>
    </w:p>
    <w:p>
      <w:r>
        <w:t>夏晓虹，王风等著 其他作品：https://www.jiaokey.com/tag/夏晓虹，王风等著.html</w:t>
      </w:r>
    </w:p>
    <w:p>
      <w:r>
        <w:t>安徽教育出版社 出版图书：https://www.jiaokey.com/tag/安徽教育出版社.html</w:t>
      </w:r>
    </w:p>
    <w:p>
      <w:r>
        <w:t>关键词搜索：https://www.jiaokey.com/tag/文学语言与文章体式  从晚清到“五四”.html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