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坐收渔利</w:t>
      </w:r>
    </w:p>
    <w:p>
      <w:r>
        <w:rPr>
          <w:rFonts w:ascii="宋体" w:hAnsi="宋体" w:eastAsia="宋体"/>
          <w:sz w:val="24"/>
        </w:rPr>
        <w:t>（美）珀西·斯珀拉科·帕克等著；楼迎宪，魏清光，孙开建，林文华等译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坐收渔利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（美）珀西·斯珀拉科·帕克等著；楼迎宪，魏清光，孙开建，林文华等译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本书出售、求购地址：https://www.jiaokey.com/book/detail/11592551.html</w:t>
      </w:r>
    </w:p>
    <w:p>
      <w:r>
        <w:t>更多相关图书推荐：https://www.jiaokey.com</w:t>
      </w:r>
    </w:p>
    <w:p>
      <w:r>
        <w:t>（美）珀西·斯珀拉科·帕克等著；楼迎宪，魏清光，孙开建，林文华等译 其他作品：https://www.jiaokey.com/tag/（美）珀西·斯珀拉科·帕克等著；楼迎宪，魏清光，孙开建，林文华等译.html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关键词搜索：https://www.jiaokey.com/tag/坐收渔利.html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