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北欧地方政府  战后发展趋势与改革</w:t>
      </w:r>
    </w:p>
    <w:p>
      <w:r>
        <w:rPr>
          <w:rFonts w:ascii="宋体" w:hAnsi="宋体" w:eastAsia="宋体"/>
          <w:sz w:val="24"/>
        </w:rPr>
        <w:t>（丹）埃里克·阿尔贝克（Erik Albak）等著；常志霄，张志强译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北欧地方政府  战后发展趋势与改革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（丹）埃里克·阿尔贝克（Erik Albak）等著；常志霄，张志强译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本书出售、求购地址：https://www.jiaokey.com/book/detail/11591242.html</w:t>
      </w:r>
    </w:p>
    <w:p>
      <w:r>
        <w:t>更多相关图书推荐：https://www.jiaokey.com</w:t>
      </w:r>
    </w:p>
    <w:p>
      <w:r>
        <w:t>（丹）埃里克·阿尔贝克（Erik Albak）等著；常志霄，张志强译 其他作品：https://www.jiaokey.com/tag/（丹）埃里克·阿尔贝克（Erik Albak）等著；常志霄，张志强译.html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关键词搜索：https://www.jiaokey.com/tag/北欧地方政府  战后发展趋势与改革.html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