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20世纪绘画</w:t>
      </w:r>
    </w:p>
    <w:p>
      <w:r>
        <w:rPr>
          <w:rFonts w:ascii="宋体" w:hAnsi="宋体" w:eastAsia="宋体"/>
          <w:sz w:val="24"/>
        </w:rPr>
        <w:t>（意）加布里埃莱·克莱帕尔迪（Gabriele Crepaldi）著；文铮译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（意）加布里埃莱·克莱帕尔迪（Gabriele Crepaldi）著；文铮译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本书出售、求购地址：https://www.jiaokey.com/book/detail/11588233.html</w:t>
      </w:r>
    </w:p>
    <w:p>
      <w:r>
        <w:t>更多相关图书推荐：https://www.jiaokey.com</w:t>
      </w:r>
    </w:p>
    <w:p>
      <w:r>
        <w:t>（意）加布里埃莱·克莱帕尔迪（Gabriele Crepaldi）著；文铮译 其他作品：https://www.jiaokey.com/tag/（意）加布里埃莱·克莱帕尔迪（Gabriele Crepaldi）著；文铮译.html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关键词搜索：https://www.jiaokey.com/tag/20世纪绘画.html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