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中国石油和化工经济数据快报  2005年第20期</w:t>
      </w:r>
    </w:p>
    <w:p>
      <w:r>
        <w:rPr>
          <w:rFonts w:ascii="宋体" w:hAnsi="宋体" w:eastAsia="宋体"/>
          <w:sz w:val="24"/>
        </w:rPr>
        <w:t>中国石油和化学工业协会编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中国石油和化工经济数据快报  2005年第20期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本书出售、求购地址：https://www.jiaokey.com/book/detail/11582383.html</w:t>
      </w:r>
    </w:p>
    <w:p>
      <w:r>
        <w:t>更多相关图书推荐：https://www.jiaokey.com</w:t>
      </w:r>
    </w:p>
    <w:p>
      <w:r>
        <w:t>中国石油和化学工业协会编 其他作品：https://www.jiaokey.com/tag/中国石油和化学工业协会编.html</w:t>
      </w:r>
    </w:p>
    <w:p>
      <w:r>
        <w:t>关键词搜索：https://www.jiaokey.com/tag/中国石油和化工经济数据快报  2005年第20期.html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