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时间性：自身与他者  从胡塞尔、海德格尔到列维纳斯</w:t>
      </w:r>
    </w:p>
    <w:p>
      <w:r>
        <w:rPr>
          <w:rFonts w:ascii="宋体" w:hAnsi="宋体" w:eastAsia="宋体"/>
          <w:sz w:val="24"/>
        </w:rPr>
        <w:t>王恒著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时间性：自身与他者  从胡塞尔、海德格尔到列维纳斯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本书出售、求购地址：https://www.jiaokey.com/book/detail/11580943.html</w:t>
      </w:r>
    </w:p>
    <w:p>
      <w:r>
        <w:t>更多相关图书推荐：https://www.jiaokey.com</w:t>
      </w:r>
    </w:p>
    <w:p>
      <w:r>
        <w:t>王恒著 其他作品：https://www.jiaokey.com/tag/王恒著.html</w:t>
      </w:r>
    </w:p>
    <w:p>
      <w:r>
        <w:t>凤凰出版传媒集团；江苏人民出版社 出版图书：https://www.jiaokey.com/tag/凤凰出版传媒集团；江苏人民出版社.html</w:t>
      </w:r>
    </w:p>
    <w:p>
      <w:r>
        <w:t>关键词搜索：https://www.jiaokey.com/tag/时间性：自身与他者  从胡塞尔、海德格尔到列维纳斯.html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