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施特劳斯与尼采</w:t>
      </w:r>
    </w:p>
    <w:p>
      <w:r>
        <w:rPr>
          <w:rFonts w:ascii="宋体" w:hAnsi="宋体" w:eastAsia="宋体"/>
          <w:sz w:val="24"/>
        </w:rPr>
        <w:t>朗佩特（Laurence Lampert）著；田立年，贺志刚等译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施特劳斯与尼采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朗佩特（Laurence Lampert）著；田立年，贺志刚等译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上海三联书店；华东师范大学出版社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本书出售、求购地址：https://www.jiaokey.com/book/detail/11580940.html</w:t>
      </w:r>
    </w:p>
    <w:p>
      <w:r>
        <w:t>更多相关图书推荐：https://www.jiaokey.com</w:t>
      </w:r>
    </w:p>
    <w:p>
      <w:r>
        <w:t>朗佩特（Laurence Lampert）著；田立年，贺志刚等译 其他作品：https://www.jiaokey.com/tag/朗佩特（Laurence Lampert）著；田立年，贺志刚等译.html</w:t>
      </w:r>
    </w:p>
    <w:p>
      <w:r>
        <w:t>上海三联书店；华东师范大学出版社 出版图书：https://www.jiaokey.com/tag/上海三联书店；华东师范大学出版社.html</w:t>
      </w:r>
    </w:p>
    <w:p>
      <w:r>
        <w:t>关键词搜索：https://www.jiaokey.com/tag/施特劳斯与尼采.html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