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纵横经：鬼谷子制人成事  乱中取胜的方略  下</w:t>
      </w:r>
    </w:p>
    <w:p>
      <w:r>
        <w:rPr>
          <w:rFonts w:ascii="宋体" w:hAnsi="宋体" w:eastAsia="宋体"/>
          <w:sz w:val="24"/>
        </w:rPr>
        <w:t>（先秦）鬼谷子著；金盛渊译释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纵横经：鬼谷子制人成事  乱中取胜的方略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（先秦）鬼谷子著；金盛渊译释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本书出售、求购地址：https://www.jiaokey.com/book/detail/11580862.html</w:t>
      </w:r>
    </w:p>
    <w:p>
      <w:r>
        <w:t>更多相关图书推荐：https://www.jiaokey.com</w:t>
      </w:r>
    </w:p>
    <w:p>
      <w:r>
        <w:t>（先秦）鬼谷子著；金盛渊译释 其他作品：https://www.jiaokey.com/tag/（先秦）鬼谷子著；金盛渊译释.html</w:t>
      </w:r>
    </w:p>
    <w:p>
      <w:r>
        <w:t>春图书文化事业有限公司 出版图书：https://www.jiaokey.com/tag/春图书文化事业有限公司.html</w:t>
      </w:r>
    </w:p>
    <w:p>
      <w:r>
        <w:t>关键词搜索：https://www.jiaokey.com/tag/纵横经：鬼谷子制人成事  乱中取胜的方略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