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书法春秋</w:t>
      </w:r>
    </w:p>
    <w:p>
      <w:r>
        <w:rPr>
          <w:rFonts w:ascii="宋体" w:hAnsi="宋体" w:eastAsia="宋体"/>
          <w:sz w:val="24"/>
        </w:rPr>
        <w:t>牟仁音，凌玲明主编；牟秀生，牟笃甫著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牟仁音，凌玲明主编；牟秀生，牟笃甫著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本书出售、求购地址：https://www.jiaokey.com/book/detail/11571918.html</w:t>
      </w:r>
    </w:p>
    <w:p>
      <w:r>
        <w:t>更多相关图书推荐：https://www.jiaokey.com</w:t>
      </w:r>
    </w:p>
    <w:p>
      <w:r>
        <w:t>牟仁音，凌玲明主编；牟秀生，牟笃甫著 其他作品：https://www.jiaokey.com/tag/牟仁音，凌玲明主编；牟秀生，牟笃甫著.html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关键词搜索：https://www.jiaokey.com/tag/书法春秋.html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