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复变函数论方法  第2版</w:t>
      </w:r>
    </w:p>
    <w:p>
      <w:r>
        <w:rPr>
          <w:rFonts w:ascii="宋体" w:hAnsi="宋体" w:eastAsia="宋体"/>
          <w:sz w:val="24"/>
        </w:rPr>
        <w:t>M. A. 拉夫连季耶夫（Лаврентъев М. А.），Б. B. 沙巴特（Шабат Б. В.）著；施祥林，夏定中，吕乃刚译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复变函数论方法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A. 拉夫连季耶夫（Лаврентъев М. А.），Б. B. 沙巴特（Шабат Б. В.）著；施祥林，夏定中，吕乃刚译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本书出售、求购地址：https://www.jiaokey.com/book/detail/11570921.html</w:t>
      </w:r>
    </w:p>
    <w:p>
      <w:r>
        <w:t>更多相关图书推荐：https://www.jiaokey.com</w:t>
      </w:r>
    </w:p>
    <w:p>
      <w:r>
        <w:t>M. A. 拉夫连季耶夫（Лаврентъев М. А.），Б. B. 沙巴特（Шабат Б. В.）著；施祥林，夏定中，吕乃刚译 其他作品：https://www.jiaokey.com/tag/M. A. 拉夫连季耶夫（Лаврентъев М. А.），Б. B. 沙巴特（Шабат Б. В.）著；施祥林，夏定中，吕乃刚译.html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关键词搜索：https://www.jiaokey.com/tag/复变函数论方法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