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  实用指南  最新修订版</w:t>
      </w:r>
    </w:p>
    <w:p>
      <w:r>
        <w:rPr>
          <w:rFonts w:ascii="宋体" w:hAnsi="宋体" w:eastAsia="宋体"/>
          <w:sz w:val="24"/>
        </w:rPr>
        <w:t>罕尼·&lt;font color=Red&gt;梵&lt;/font&gt;·格鲁宁著；北京国家会计学院组织翻译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  实用指南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罕尼·&lt;font color=Red&gt;梵&lt;/font&gt;·格鲁宁著；北京国家会计学院组织翻译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国际财务管理(学科:报告学科:规范)国际会计(学科:规范)国际财务管理国际会计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本书出售、求购地址：https://www.jiaokey.com/book/detail/11570476.html</w:t>
      </w:r>
    </w:p>
    <w:p>
      <w:r>
        <w:t>更多相关图书推荐：https://www.jiaokey.com</w:t>
      </w:r>
    </w:p>
    <w:p>
      <w:r>
        <w:t>罕尼·&lt;font color=Red&gt;梵&lt;/font&gt;·格鲁宁著；北京国家会计学院组织翻译 其他作品：https://www.jiaokey.com/tag/罕尼·&lt;font color=Red&gt;梵&lt;/font&gt;·格鲁宁著；北京国家会计学院组织翻译.html</w:t>
      </w:r>
    </w:p>
    <w:p>
      <w:r>
        <w:t>北京:中国财政经济出版社,2006.02 出版图书：https://www.jiaokey.com/tag/北京:中国财政经济出版社,2006.02.html</w:t>
      </w:r>
    </w:p>
    <w:p>
      <w:r>
        <w:t>关键词搜索：https://www.jiaokey.com/tag/国际财务管理(学科:报告学科:规范)国际会计(学科:规范)国际财务管理国际会计.html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