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当代画风  中国画</w:t>
      </w:r>
    </w:p>
    <w:p>
      <w:r>
        <w:rPr>
          <w:rFonts w:ascii="宋体" w:hAnsi="宋体" w:eastAsia="宋体"/>
          <w:sz w:val="24"/>
        </w:rPr>
        <w:t>王艾亭主编；太行山美术家写生创作基地编印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当代画风  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王艾亭主编；太行山美术家写生创作基地编印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本书出售、求购地址：https://www.jiaokey.com/book/detail/11569929.html</w:t>
      </w:r>
    </w:p>
    <w:p>
      <w:r>
        <w:t>更多相关图书推荐：https://www.jiaokey.com</w:t>
      </w:r>
    </w:p>
    <w:p>
      <w:r>
        <w:t>王艾亭主编；太行山美术家写生创作基地编印 其他作品：https://www.jiaokey.com/tag/王艾亭主编；太行山美术家写生创作基地编印.html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关键词搜索：https://www.jiaokey.com/tag/当代画风  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